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  <w:bidi/>
      </w:pPr>
      <w:r>
        <w:rPr>
          <w:lang w:val="ar-MA" w:bidi="ar-MA"/>
        </w:rPr>
        <w:t xml:space="preserve">دفتر تحملات تطبيق جوال</w:t>
      </w:r>
    </w:p>
    <w:p>
      <w:pPr>
        <w:pStyle w:val="Subtitle"/>
        <w:bidi/>
      </w:pPr>
      <w:r>
        <w:rPr>
          <w:lang w:val="ar-MA" w:bidi="ar-MA"/>
        </w:rPr>
        <w:t xml:space="preserve">نموذج قابل للتعديل لتأطير مشروع iOS وAndroid في المغرب</w:t>
      </w:r>
    </w:p>
    <w:p>
      <w:pPr>
        <w:bidi/>
      </w:pPr>
      <w:r>
        <w:rPr>
          <w:lang w:val="ar-MA" w:bidi="ar-MA"/>
        </w:rPr>
        <w:t xml:space="preserve">TripleW Digital — triplew.ma</w:t>
      </w:r>
    </w:p>
    <w:p>
      <w:pPr>
        <w:pStyle w:val="Heading1"/>
        <w:bidi/>
      </w:pPr>
      <w:r>
        <w:rPr>
          <w:lang w:val="ar-MA" w:bidi="ar-MA"/>
        </w:rPr>
        <w:t xml:space="preserve">1. الشركة والمشروع</w:t>
      </w:r>
    </w:p>
    <w:p>
      <w:pPr>
        <w:bidi/>
      </w:pPr>
      <w:r>
        <w:rPr>
          <w:lang w:val="ar-MA" w:bidi="ar-MA"/>
        </w:rPr>
        <w:t xml:space="preserve">اسم الشركة: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bidi/>
      </w:pPr>
      <w:r>
        <w:rPr>
          <w:lang w:val="ar-MA" w:bidi="ar-MA"/>
        </w:rPr>
        <w:t xml:space="preserve">المجال والمدينة: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bidi/>
      </w:pPr>
      <w:r>
        <w:rPr>
          <w:lang w:val="ar-MA" w:bidi="ar-MA"/>
        </w:rPr>
        <w:t xml:space="preserve">مسؤول المشروع: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bidi/>
      </w:pPr>
      <w:r>
        <w:rPr>
          <w:lang w:val="ar-MA" w:bidi="ar-MA"/>
        </w:rPr>
        <w:t xml:space="preserve">مشكلة المستخدم التي سيحلها التطبيق: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bidi/>
      </w:pPr>
      <w:r>
        <w:rPr>
          <w:lang w:val="ar-MA" w:bidi="ar-MA"/>
        </w:rPr>
        <w:t xml:space="preserve">النتيجة المطلوبة ومؤشر النجاح: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pStyle w:val="Heading1"/>
        <w:bidi/>
      </w:pPr>
      <w:r>
        <w:rPr>
          <w:lang w:val="ar-MA" w:bidi="ar-MA"/>
        </w:rPr>
        <w:t xml:space="preserve">2. المستخدمون والسياق</w:t>
      </w:r>
    </w:p>
    <w:p>
      <w:pPr>
        <w:bidi/>
      </w:pPr>
      <w:r>
        <w:rPr>
          <w:lang w:val="ar-MA" w:bidi="ar-MA"/>
        </w:rPr>
        <w:t xml:space="preserve">فئات المستخدمين: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bidi/>
      </w:pPr>
      <w:r>
        <w:rPr>
          <w:lang w:val="ar-MA" w:bidi="ar-MA"/>
        </w:rPr>
        <w:t xml:space="preserve">اللغات واتجاه العرض: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bidi/>
      </w:pPr>
      <w:r>
        <w:rPr>
          <w:lang w:val="ar-MA" w:bidi="ar-MA"/>
        </w:rPr>
        <w:t xml:space="preserve">الأجهزة والإصدارات المستهدفة: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bidi/>
      </w:pPr>
      <w:r>
        <w:rPr>
          <w:lang w:val="ar-MA" w:bidi="ar-MA"/>
        </w:rPr>
        <w:t xml:space="preserve">متطلبات الولوج: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bidi/>
      </w:pPr>
      <w:r>
        <w:rPr>
          <w:lang w:val="ar-MA" w:bidi="ar-MA"/>
        </w:rPr>
        <w:t xml:space="preserve">قيود الاتصال أو العمل دون إنترنت: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pStyle w:val="Heading1"/>
        <w:bidi/>
      </w:pPr>
      <w:r>
        <w:rPr>
          <w:lang w:val="ar-MA" w:bidi="ar-MA"/>
        </w:rPr>
        <w:t xml:space="preserve">3. المسارات الرئيسية</w:t>
      </w:r>
    </w:p>
    <w:p>
      <w:pPr>
        <w:bidi/>
      </w:pPr>
      <w:r>
        <w:rPr>
          <w:lang w:val="ar-MA" w:bidi="ar-MA"/>
        </w:rPr>
        <w:t xml:space="preserve">المسار 1 — البداية والخطوات والنتيجة: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bidi/>
      </w:pPr>
      <w:r>
        <w:rPr>
          <w:lang w:val="ar-MA" w:bidi="ar-MA"/>
        </w:rPr>
        <w:t xml:space="preserve">المسار 2 — البداية والخطوات والنتيجة: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bidi/>
      </w:pPr>
      <w:r>
        <w:rPr>
          <w:lang w:val="ar-MA" w:bidi="ar-MA"/>
        </w:rPr>
        <w:t xml:space="preserve">معايير القبول القابلة للقياس: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bidi/>
      </w:pPr>
      <w:r>
        <w:rPr>
          <w:lang w:val="ar-MA" w:bidi="ar-MA"/>
        </w:rPr>
        <w:t xml:space="preserve">حالات الخطأ والاسترجاع: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pStyle w:val="Heading1"/>
        <w:bidi/>
      </w:pPr>
      <w:r>
        <w:rPr>
          <w:lang w:val="ar-MA" w:bidi="ar-MA"/>
        </w:rPr>
        <w:t xml:space="preserve">4. ترتيب الأولويات بطريقة MoSCoW</w:t>
      </w:r>
    </w:p>
    <w:p>
      <w:pPr>
        <w:bidi/>
      </w:pPr>
      <w:r>
        <w:rPr>
          <w:lang w:val="ar-MA" w:bidi="ar-MA"/>
        </w:rPr>
        <w:t xml:space="preserve">MUST — ضروري للإطلاق: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bidi/>
      </w:pPr>
      <w:r>
        <w:rPr>
          <w:lang w:val="ar-MA" w:bidi="ar-MA"/>
        </w:rPr>
        <w:t xml:space="preserve">SHOULD — مهم إذا سمحت الميزانية: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bidi/>
      </w:pPr>
      <w:r>
        <w:rPr>
          <w:lang w:val="ar-MA" w:bidi="ar-MA"/>
        </w:rPr>
        <w:t xml:space="preserve">COULD — مفيد في إصدار لاحق: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bidi/>
      </w:pPr>
      <w:r>
        <w:rPr>
          <w:lang w:val="ar-MA" w:bidi="ar-MA"/>
        </w:rPr>
        <w:t xml:space="preserve">WON'T — خارج النطاق بوضوح: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pStyle w:val="Heading1"/>
        <w:bidi/>
      </w:pPr>
      <w:r>
        <w:rPr>
          <w:lang w:val="ar-MA" w:bidi="ar-MA"/>
        </w:rPr>
        <w:t xml:space="preserve">5. الوظائف وقواعد العمل</w:t>
      </w:r>
    </w:p>
    <w:p>
      <w:pPr>
        <w:bidi/>
      </w:pPr>
      <w:r>
        <w:rPr>
          <w:b/>
          <w:lang w:val="ar-MA" w:bidi="ar-MA"/>
        </w:rPr>
        <w:t xml:space="preserve">☐ التسجيل وتسجيل الدخول</w:t>
      </w:r>
    </w:p>
    <w:p>
      <w:pPr>
        <w:bidi/>
      </w:pPr>
      <w:r>
        <w:rPr>
          <w:b/>
          <w:lang w:val="ar-MA" w:bidi="ar-MA"/>
        </w:rPr>
        <w:t xml:space="preserve">☐ الحسابات والصلاحيات</w:t>
      </w:r>
    </w:p>
    <w:p>
      <w:pPr>
        <w:bidi/>
      </w:pPr>
      <w:r>
        <w:rPr>
          <w:b/>
          <w:lang w:val="ar-MA" w:bidi="ar-MA"/>
        </w:rPr>
        <w:t xml:space="preserve">☐ الكتالوج أو البحث أو الحجز</w:t>
      </w:r>
    </w:p>
    <w:p>
      <w:pPr>
        <w:bidi/>
      </w:pPr>
      <w:r>
        <w:rPr>
          <w:b/>
          <w:lang w:val="ar-MA" w:bidi="ar-MA"/>
        </w:rPr>
        <w:t xml:space="preserve">☐ الدفع عبر CMI أو غيره</w:t>
      </w:r>
    </w:p>
    <w:p>
      <w:pPr>
        <w:bidi/>
      </w:pPr>
      <w:r>
        <w:rPr>
          <w:b/>
          <w:lang w:val="ar-MA" w:bidi="ar-MA"/>
        </w:rPr>
        <w:t xml:space="preserve">☐ إشعارات Push أو SMS أو البريد</w:t>
      </w:r>
    </w:p>
    <w:p>
      <w:pPr>
        <w:bidi/>
      </w:pPr>
      <w:r>
        <w:rPr>
          <w:b/>
          <w:lang w:val="ar-MA" w:bidi="ar-MA"/>
        </w:rPr>
        <w:t xml:space="preserve">☐ الخرائط وتحديد الموقع</w:t>
      </w:r>
    </w:p>
    <w:p>
      <w:pPr>
        <w:bidi/>
      </w:pPr>
      <w:r>
        <w:rPr>
          <w:lang w:val="ar-MA" w:bidi="ar-MA"/>
        </w:rPr>
        <w:t xml:space="preserve">قواعد الحساب والموافقة والإلغاء: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pStyle w:val="Heading1"/>
        <w:bidi/>
      </w:pPr>
      <w:r>
        <w:rPr>
          <w:lang w:val="ar-MA" w:bidi="ar-MA"/>
        </w:rPr>
        <w:t xml:space="preserve">6. لوحة الإدارة والتقارير</w:t>
      </w:r>
    </w:p>
    <w:p>
      <w:pPr>
        <w:bidi/>
      </w:pPr>
      <w:r>
        <w:rPr>
          <w:lang w:val="ar-MA" w:bidi="ar-MA"/>
        </w:rPr>
        <w:t xml:space="preserve">أدوار المشرفين: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bidi/>
      </w:pPr>
      <w:r>
        <w:rPr>
          <w:lang w:val="ar-MA" w:bidi="ar-MA"/>
        </w:rPr>
        <w:t xml:space="preserve">عمليات كل دور: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bidi/>
      </w:pPr>
      <w:r>
        <w:rPr>
          <w:lang w:val="ar-MA" w:bidi="ar-MA"/>
        </w:rPr>
        <w:t xml:space="preserve">لوحات المتابعة والمؤشرات: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bidi/>
      </w:pPr>
      <w:r>
        <w:rPr>
          <w:lang w:val="ar-MA" w:bidi="ar-MA"/>
        </w:rPr>
        <w:t xml:space="preserve">التصدير وسجل العمليات: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pStyle w:val="Heading1"/>
        <w:bidi/>
      </w:pPr>
      <w:r>
        <w:rPr>
          <w:lang w:val="ar-MA" w:bidi="ar-MA"/>
        </w:rPr>
        <w:t xml:space="preserve">7. الربط بالخدمات</w:t>
      </w:r>
    </w:p>
    <w:p>
      <w:pPr>
        <w:bidi/>
      </w:pPr>
      <w:r>
        <w:rPr>
          <w:lang w:val="ar-MA" w:bidi="ar-MA"/>
        </w:rPr>
        <w:t xml:space="preserve">الأنظمة الحالية (ERP أو CRM أو الموقع أو API):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bidi/>
      </w:pPr>
      <w:r>
        <w:rPr>
          <w:lang w:val="ar-MA" w:bidi="ar-MA"/>
        </w:rPr>
        <w:t xml:space="preserve">الدفع والفوترة: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bidi/>
      </w:pPr>
      <w:r>
        <w:rPr>
          <w:lang w:val="ar-MA" w:bidi="ar-MA"/>
        </w:rPr>
        <w:t xml:space="preserve">SMS والبريد والخرائط واللوجستيك: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bidi/>
      </w:pPr>
      <w:r>
        <w:rPr>
          <w:lang w:val="ar-MA" w:bidi="ar-MA"/>
        </w:rPr>
        <w:t xml:space="preserve">المسؤول عن حسابات وبيئات الاختبار: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pStyle w:val="Heading1"/>
        <w:bidi/>
      </w:pPr>
      <w:r>
        <w:rPr>
          <w:lang w:val="ar-MA" w:bidi="ar-MA"/>
        </w:rPr>
        <w:t xml:space="preserve">8. البيانات والأمان وCNDP</w:t>
      </w:r>
    </w:p>
    <w:p>
      <w:pPr>
        <w:bidi/>
      </w:pPr>
      <w:r>
        <w:rPr>
          <w:lang w:val="ar-MA" w:bidi="ar-MA"/>
        </w:rPr>
        <w:t xml:space="preserve">المعطيات الشخصية المجموعة: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bidi/>
      </w:pPr>
      <w:r>
        <w:rPr>
          <w:lang w:val="ar-MA" w:bidi="ar-MA"/>
        </w:rPr>
        <w:t xml:space="preserve">الغرض والموافقة ومدة الاحتفاظ: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bidi/>
      </w:pPr>
      <w:r>
        <w:rPr>
          <w:lang w:val="ar-MA" w:bidi="ar-MA"/>
        </w:rPr>
        <w:t xml:space="preserve">الحذف وتصدير البيانات: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bidi/>
      </w:pPr>
      <w:r>
        <w:rPr>
          <w:lang w:val="ar-MA" w:bidi="ar-MA"/>
        </w:rPr>
        <w:t xml:space="preserve">المصادقة والصلاحيات الحساسة: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bidi/>
      </w:pPr>
      <w:r>
        <w:rPr>
          <w:lang w:val="ar-MA" w:bidi="ar-MA"/>
        </w:rPr>
        <w:t xml:space="preserve">سجل العمليات وتدبير الحوادث: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pStyle w:val="Heading1"/>
        <w:bidi/>
      </w:pPr>
      <w:r>
        <w:rPr>
          <w:lang w:val="ar-MA" w:bidi="ar-MA"/>
        </w:rPr>
        <w:t xml:space="preserve">9. الجودة والتشغيل</w:t>
      </w:r>
    </w:p>
    <w:p>
      <w:pPr>
        <w:bidi/>
      </w:pPr>
      <w:r>
        <w:rPr>
          <w:lang w:val="ar-MA" w:bidi="ar-MA"/>
        </w:rPr>
        <w:t xml:space="preserve">أهداف الأداء القابلة للقياس: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bidi/>
      </w:pPr>
      <w:r>
        <w:rPr>
          <w:lang w:val="ar-MA" w:bidi="ar-MA"/>
        </w:rPr>
        <w:t xml:space="preserve">التوفر والنسخ الاحتياطي: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bidi/>
      </w:pPr>
      <w:r>
        <w:rPr>
          <w:lang w:val="ar-MA" w:bidi="ar-MA"/>
        </w:rPr>
        <w:t xml:space="preserve">أدوات تتبع الأخطاء: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bidi/>
      </w:pPr>
      <w:r>
        <w:rPr>
          <w:lang w:val="ar-MA" w:bidi="ar-MA"/>
        </w:rPr>
        <w:t xml:space="preserve">الأجهزة وسيناريوهات الاختبار: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pStyle w:val="Heading1"/>
        <w:bidi/>
      </w:pPr>
      <w:r>
        <w:rPr>
          <w:lang w:val="ar-MA" w:bidi="ar-MA"/>
        </w:rPr>
        <w:t xml:space="preserve">10. التسليم والملكية</w:t>
      </w:r>
    </w:p>
    <w:p>
      <w:pPr>
        <w:bidi/>
      </w:pPr>
      <w:r>
        <w:rPr>
          <w:b/>
          <w:lang w:val="ar-MA" w:bidi="ar-MA"/>
        </w:rPr>
        <w:t xml:space="preserve">☐ الشفرة المصدرية وسجل التعديلات</w:t>
      </w:r>
    </w:p>
    <w:p>
      <w:pPr>
        <w:bidi/>
      </w:pPr>
      <w:r>
        <w:rPr>
          <w:b/>
          <w:lang w:val="ar-MA" w:bidi="ar-MA"/>
        </w:rPr>
        <w:t xml:space="preserve">☐ التصاميم والملفات البصرية</w:t>
      </w:r>
    </w:p>
    <w:p>
      <w:pPr>
        <w:bidi/>
      </w:pPr>
      <w:r>
        <w:rPr>
          <w:b/>
          <w:lang w:val="ar-MA" w:bidi="ar-MA"/>
        </w:rPr>
        <w:t xml:space="preserve">☐ الوثائق وبيانات الولوج</w:t>
      </w:r>
    </w:p>
    <w:p>
      <w:pPr>
        <w:bidi/>
      </w:pPr>
      <w:r>
        <w:rPr>
          <w:b/>
          <w:lang w:val="ar-MA" w:bidi="ar-MA"/>
        </w:rPr>
        <w:t xml:space="preserve">☐ بيئتا الاختبار والإنتاج</w:t>
      </w:r>
    </w:p>
    <w:p>
      <w:pPr>
        <w:bidi/>
      </w:pPr>
      <w:r>
        <w:rPr>
          <w:b/>
          <w:lang w:val="ar-MA" w:bidi="ar-MA"/>
        </w:rPr>
        <w:t xml:space="preserve">☐ المساعدة في إرسال التطبيق إلى المتاجر</w:t>
      </w:r>
    </w:p>
    <w:p>
      <w:pPr>
        <w:bidi/>
      </w:pPr>
      <w:r>
        <w:rPr>
          <w:lang w:val="ar-MA" w:bidi="ar-MA"/>
        </w:rPr>
        <w:t xml:space="preserve">شروط الضمان التصحيحي والصيانة: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pStyle w:val="Heading1"/>
        <w:bidi/>
      </w:pPr>
      <w:r>
        <w:rPr>
          <w:lang w:val="ar-MA" w:bidi="ar-MA"/>
        </w:rPr>
        <w:t xml:space="preserve">11. الميزانية والمدة والاعتماديات</w:t>
      </w:r>
    </w:p>
    <w:p>
      <w:pPr>
        <w:bidi/>
      </w:pPr>
      <w:r>
        <w:rPr>
          <w:lang w:val="ar-MA" w:bidi="ar-MA"/>
        </w:rPr>
        <w:t xml:space="preserve">الميزانية: ☐ 10 800 درهم (MVP محدد)  ☐ 21 000 درهم (تطبيق متكامل)  ☐ حسب المقايسة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bidi/>
      </w:pPr>
      <w:r>
        <w:rPr>
          <w:lang w:val="ar-MA" w:bidi="ar-MA"/>
        </w:rPr>
        <w:t xml:space="preserve">المدة التقديرية: ☐ 4–6 أسابيع  ☐ 8–12 أسبوعاً  ☐ 12–16 أسبوعاً حسب النطاق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bidi/>
      </w:pPr>
      <w:r>
        <w:rPr>
          <w:lang w:val="ar-MA" w:bidi="ar-MA"/>
        </w:rPr>
        <w:t xml:space="preserve">تاريخ الإطلاق المستهدف: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bidi/>
      </w:pPr>
      <w:r>
        <w:rPr>
          <w:lang w:val="ar-MA" w:bidi="ar-MA"/>
        </w:rPr>
        <w:t xml:space="preserve">المحتوى والحسابات التي يوفرها صاحب المشروع: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bidi/>
      </w:pPr>
      <w:r>
        <w:rPr>
          <w:lang w:val="ar-MA" w:bidi="ar-MA"/>
        </w:rPr>
        <w:t xml:space="preserve">طريقة الاعتماد وتدبير التغييرات: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pStyle w:val="Heading1"/>
        <w:bidi/>
      </w:pPr>
      <w:r>
        <w:rPr>
          <w:lang w:val="ar-MA" w:bidi="ar-MA"/>
        </w:rPr>
        <w:t xml:space="preserve">12. مقارنة مقدمي الخدمة</w:t>
      </w:r>
    </w:p>
    <w:p>
      <w:pPr>
        <w:bidi/>
      </w:pPr>
      <w:r>
        <w:rPr>
          <w:lang w:val="ar-MA" w:bidi="ar-MA"/>
        </w:rPr>
        <w:t xml:space="preserve">النطاق والاستثناءات واضحان: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bidi/>
      </w:pPr>
      <w:r>
        <w:rPr>
          <w:lang w:val="ar-MA" w:bidi="ar-MA"/>
        </w:rPr>
        <w:t xml:space="preserve">المنهج والمراحل ومعايير القبول: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bidi/>
      </w:pPr>
      <w:r>
        <w:rPr>
          <w:lang w:val="ar-MA" w:bidi="ar-MA"/>
        </w:rPr>
        <w:t xml:space="preserve">مراجع قابلة للتحقق: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bidi/>
      </w:pPr>
      <w:r>
        <w:rPr>
          <w:lang w:val="ar-MA" w:bidi="ar-MA"/>
        </w:rPr>
        <w:t xml:space="preserve">المصاريف الخارجية والدورية منفصلة: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bidi/>
      </w:pPr>
      <w:r>
        <w:rPr>
          <w:lang w:val="ar-MA" w:bidi="ar-MA"/>
        </w:rPr>
        <w:t xml:space="preserve">الملكية وإمكانية الانتقال والدعم:</w:t>
      </w:r>
    </w:p>
    <w:p>
      <w:pPr>
        <w:bidi/>
      </w:pPr>
      <w:r>
        <w:rPr>
          <w:lang w:val="ar-MA" w:bidi="ar-MA"/>
        </w:rPr>
        <w:t xml:space="preserve">________________________________________________________________________________</w:t>
      </w:r>
    </w:p>
    <w:p>
      <w:pPr>
        <w:bidi/>
      </w:pPr>
      <w:r>
        <w:rPr>
          <w:lang w:val="ar-MA" w:bidi="ar-MA"/>
        </w:rPr>
        <w:t xml:space="preserve">يساعد هذا النموذج على التأطير ولا يعوض الاستشارة القانونية.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DejaVu Sans" w:hAnsi="DejaVu Sans" w:cs="Noto Naskh Arabic"/>
      <w:sz w:val="22"/>
      <w:szCs w:val="24"/>
    </w:rPr>
    <w:pPr>
      <w:spacing w:after="100"/>
    </w:pPr>
  </w:style>
  <w:style w:type="paragraph" w:styleId="Title">
    <w:name w:val="Title"/>
    <w:basedOn w:val="Normal"/>
    <w:rPr>
      <w:b/>
      <w:color w:val="4F46E5"/>
      <w:sz w:val="38"/>
      <w:szCs w:val="40"/>
    </w:rPr>
    <w:pPr>
      <w:spacing w:after="180"/>
    </w:pPr>
  </w:style>
  <w:style w:type="paragraph" w:styleId="Subtitle">
    <w:name w:val="Subtitle"/>
    <w:basedOn w:val="Normal"/>
    <w:rPr>
      <w:color w:val="52525B"/>
      <w:sz w:val="25"/>
      <w:szCs w:val="27"/>
    </w:rPr>
  </w:style>
  <w:style w:type="paragraph" w:styleId="Heading1">
    <w:name w:val="heading 1"/>
    <w:basedOn w:val="Normal"/>
    <w:rPr>
      <w:b/>
      <w:color w:val="18181B"/>
      <w:sz w:val="28"/>
      <w:szCs w:val="30"/>
    </w:rPr>
    <w:pPr>
      <w:keepNext/>
      <w:spacing w:before="260" w:after="12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